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8A0" w:rsidRDefault="000E0F2E">
      <w:pPr>
        <w:spacing w:after="24" w:line="259" w:lineRule="auto"/>
        <w:ind w:left="21" w:firstLine="0"/>
        <w:jc w:val="center"/>
        <w:rPr>
          <w:rFonts w:ascii="ITC Avant Garde Std Bk" w:eastAsia="Calibri" w:hAnsi="ITC Avant Garde Std Bk" w:cs="Calibri"/>
          <w:b/>
          <w:i/>
          <w:sz w:val="28"/>
          <w:u w:val="single"/>
        </w:rPr>
      </w:pPr>
      <w:r w:rsidRPr="000E0F2E">
        <w:rPr>
          <w:rFonts w:ascii="ITC Avant Garde Std Bk" w:eastAsia="Calibri" w:hAnsi="ITC Avant Garde Std Bk" w:cs="Calibri"/>
          <w:b/>
          <w:i/>
          <w:sz w:val="28"/>
          <w:u w:val="single"/>
        </w:rPr>
        <w:t>Mount Group Practice</w:t>
      </w:r>
    </w:p>
    <w:p w:rsidR="000E0F2E" w:rsidRPr="000E0F2E" w:rsidRDefault="000E0F2E">
      <w:pPr>
        <w:spacing w:after="24" w:line="259" w:lineRule="auto"/>
        <w:ind w:left="21" w:firstLine="0"/>
        <w:jc w:val="center"/>
        <w:rPr>
          <w:rFonts w:ascii="ITC Avant Garde Std Bk" w:hAnsi="ITC Avant Garde Std Bk"/>
          <w:u w:val="single"/>
        </w:rPr>
      </w:pPr>
    </w:p>
    <w:p w:rsidR="006368A0" w:rsidRPr="000E0F2E" w:rsidRDefault="000E0F2E">
      <w:pPr>
        <w:spacing w:after="0" w:line="259" w:lineRule="auto"/>
        <w:ind w:left="0" w:firstLine="0"/>
        <w:rPr>
          <w:rFonts w:ascii="ITC Avant Garde Std Bk" w:hAnsi="ITC Avant Garde Std Bk" w:cs="Calibri"/>
          <w:sz w:val="20"/>
          <w:szCs w:val="20"/>
        </w:rPr>
      </w:pPr>
      <w:r w:rsidRPr="000E0F2E">
        <w:rPr>
          <w:rFonts w:ascii="ITC Avant Garde Std Bk" w:eastAsia="Calibri" w:hAnsi="ITC Avant Garde Std Bk" w:cs="Calibri"/>
          <w:b/>
          <w:sz w:val="20"/>
          <w:szCs w:val="20"/>
        </w:rPr>
        <w:t xml:space="preserve">Patients Removal Policy  </w:t>
      </w:r>
    </w:p>
    <w:p w:rsidR="006368A0" w:rsidRPr="000E0F2E" w:rsidRDefault="000E0F2E">
      <w:pPr>
        <w:spacing w:after="29" w:line="259" w:lineRule="auto"/>
        <w:ind w:left="0" w:firstLine="0"/>
        <w:rPr>
          <w:rFonts w:ascii="ITC Avant Garde Std Bk" w:hAnsi="ITC Avant Garde Std Bk" w:cs="Calibri"/>
          <w:sz w:val="20"/>
          <w:szCs w:val="20"/>
        </w:rPr>
      </w:pPr>
      <w:r w:rsidRPr="000E0F2E">
        <w:rPr>
          <w:rFonts w:ascii="ITC Avant Garde Std Bk" w:eastAsia="Calibri" w:hAnsi="ITC Avant Garde Std Bk" w:cs="Calibri"/>
          <w:sz w:val="20"/>
          <w:szCs w:val="20"/>
        </w:rPr>
        <w:t xml:space="preserve"> </w:t>
      </w:r>
    </w:p>
    <w:p w:rsidR="006368A0" w:rsidRPr="000E0F2E" w:rsidRDefault="000E0F2E">
      <w:pPr>
        <w:ind w:left="-5"/>
        <w:rPr>
          <w:rFonts w:ascii="ITC Avant Garde Std Bk" w:hAnsi="ITC Avant Garde Std Bk" w:cs="Calibri"/>
          <w:sz w:val="20"/>
          <w:szCs w:val="20"/>
        </w:rPr>
      </w:pPr>
      <w:r w:rsidRPr="000E0F2E">
        <w:rPr>
          <w:rFonts w:ascii="ITC Avant Garde Std Bk" w:hAnsi="ITC Avant Garde Std Bk" w:cs="Calibri"/>
          <w:sz w:val="20"/>
          <w:szCs w:val="20"/>
        </w:rPr>
        <w:t xml:space="preserve">The Mount Group practice aims to provide the best possible health care for its patients. However, there may be circumstances when it would be considered reasonable, or in the best interests of the patient and practice staff, to remove patients from the list. </w:t>
      </w:r>
    </w:p>
    <w:p w:rsidR="006368A0" w:rsidRPr="000E0F2E" w:rsidRDefault="000E0F2E">
      <w:pPr>
        <w:spacing w:after="19" w:line="259" w:lineRule="auto"/>
        <w:ind w:left="0" w:firstLine="0"/>
        <w:rPr>
          <w:rFonts w:ascii="ITC Avant Garde Std Bk" w:hAnsi="ITC Avant Garde Std Bk" w:cs="Calibri"/>
          <w:sz w:val="20"/>
          <w:szCs w:val="20"/>
        </w:rPr>
      </w:pPr>
      <w:r w:rsidRPr="000E0F2E">
        <w:rPr>
          <w:rFonts w:ascii="ITC Avant Garde Std Bk" w:hAnsi="ITC Avant Garde Std Bk" w:cs="Calibri"/>
          <w:sz w:val="20"/>
          <w:szCs w:val="20"/>
        </w:rPr>
        <w:t xml:space="preserve"> </w:t>
      </w:r>
    </w:p>
    <w:p w:rsidR="006368A0" w:rsidRPr="000E0F2E" w:rsidRDefault="000E0F2E">
      <w:pPr>
        <w:ind w:left="-5"/>
        <w:rPr>
          <w:rFonts w:ascii="ITC Avant Garde Std Bk" w:hAnsi="ITC Avant Garde Std Bk" w:cs="Calibri"/>
          <w:sz w:val="20"/>
          <w:szCs w:val="20"/>
        </w:rPr>
      </w:pPr>
      <w:r w:rsidRPr="000E0F2E">
        <w:rPr>
          <w:rFonts w:ascii="ITC Avant Garde Std Bk" w:hAnsi="ITC Avant Garde Std Bk" w:cs="Calibri"/>
          <w:sz w:val="20"/>
          <w:szCs w:val="20"/>
        </w:rPr>
        <w:t xml:space="preserve">The purpose of this policy, therefore, is to define the practice guidelines for when it is reasonable to remove a patient from the practice list and to ensure that the process is dealt with fairly. </w:t>
      </w:r>
    </w:p>
    <w:p w:rsidR="006368A0" w:rsidRPr="000E0F2E" w:rsidRDefault="000E0F2E">
      <w:pPr>
        <w:spacing w:after="23" w:line="259" w:lineRule="auto"/>
        <w:ind w:left="0" w:firstLine="0"/>
        <w:rPr>
          <w:rFonts w:ascii="ITC Avant Garde Std Bk" w:hAnsi="ITC Avant Garde Std Bk" w:cs="Calibri"/>
          <w:sz w:val="20"/>
          <w:szCs w:val="20"/>
        </w:rPr>
      </w:pPr>
      <w:r w:rsidRPr="000E0F2E">
        <w:rPr>
          <w:rFonts w:ascii="ITC Avant Garde Std Bk" w:hAnsi="ITC Avant Garde Std Bk" w:cs="Calibri"/>
          <w:sz w:val="20"/>
          <w:szCs w:val="20"/>
        </w:rPr>
        <w:t xml:space="preserve"> </w:t>
      </w:r>
    </w:p>
    <w:p w:rsidR="006368A0" w:rsidRPr="000E0F2E" w:rsidRDefault="000E0F2E">
      <w:pPr>
        <w:pStyle w:val="Heading1"/>
        <w:ind w:left="-5"/>
        <w:rPr>
          <w:rFonts w:ascii="ITC Avant Garde Std Bk" w:hAnsi="ITC Avant Garde Std Bk" w:cs="Calibri"/>
          <w:sz w:val="20"/>
          <w:szCs w:val="20"/>
        </w:rPr>
      </w:pPr>
      <w:r w:rsidRPr="000E0F2E">
        <w:rPr>
          <w:rFonts w:ascii="ITC Avant Garde Std Bk" w:hAnsi="ITC Avant Garde Std Bk" w:cs="Calibri"/>
          <w:sz w:val="20"/>
          <w:szCs w:val="20"/>
        </w:rPr>
        <w:t>Responsibility</w:t>
      </w:r>
      <w:r w:rsidRPr="000E0F2E">
        <w:rPr>
          <w:rFonts w:ascii="ITC Avant Garde Std Bk" w:eastAsia="Calibri" w:hAnsi="ITC Avant Garde Std Bk" w:cs="Calibri"/>
          <w:sz w:val="20"/>
          <w:szCs w:val="20"/>
          <w:u w:val="none"/>
        </w:rPr>
        <w:t xml:space="preserve"> </w:t>
      </w:r>
    </w:p>
    <w:p w:rsidR="006368A0" w:rsidRPr="000E0F2E" w:rsidRDefault="000E0F2E">
      <w:pPr>
        <w:spacing w:after="16" w:line="259" w:lineRule="auto"/>
        <w:ind w:left="0" w:firstLine="0"/>
        <w:rPr>
          <w:rFonts w:ascii="ITC Avant Garde Std Bk" w:hAnsi="ITC Avant Garde Std Bk" w:cs="Calibri"/>
          <w:sz w:val="20"/>
          <w:szCs w:val="20"/>
        </w:rPr>
      </w:pPr>
      <w:r w:rsidRPr="000E0F2E">
        <w:rPr>
          <w:rFonts w:ascii="ITC Avant Garde Std Bk" w:hAnsi="ITC Avant Garde Std Bk" w:cs="Calibri"/>
          <w:sz w:val="20"/>
          <w:szCs w:val="20"/>
        </w:rPr>
        <w:t xml:space="preserve"> </w:t>
      </w:r>
    </w:p>
    <w:p w:rsidR="006368A0" w:rsidRPr="000E0F2E" w:rsidRDefault="000E0F2E">
      <w:pPr>
        <w:ind w:left="-5"/>
        <w:rPr>
          <w:rFonts w:ascii="ITC Avant Garde Std Bk" w:hAnsi="ITC Avant Garde Std Bk" w:cs="Calibri"/>
          <w:sz w:val="20"/>
          <w:szCs w:val="20"/>
        </w:rPr>
      </w:pPr>
      <w:r w:rsidRPr="000E0F2E">
        <w:rPr>
          <w:rFonts w:ascii="ITC Avant Garde Std Bk" w:hAnsi="ITC Avant Garde Std Bk" w:cs="Calibri"/>
          <w:sz w:val="20"/>
          <w:szCs w:val="20"/>
        </w:rPr>
        <w:t xml:space="preserve">Responsibility for implementing and monitoring the policy rests with the GP partners and the Practice Manager. </w:t>
      </w:r>
    </w:p>
    <w:p w:rsidR="006368A0" w:rsidRPr="000E0F2E" w:rsidRDefault="000E0F2E">
      <w:pPr>
        <w:spacing w:after="19" w:line="259" w:lineRule="auto"/>
        <w:ind w:left="0" w:firstLine="0"/>
        <w:rPr>
          <w:rFonts w:ascii="ITC Avant Garde Std Bk" w:hAnsi="ITC Avant Garde Std Bk" w:cs="Calibri"/>
          <w:sz w:val="20"/>
          <w:szCs w:val="20"/>
        </w:rPr>
      </w:pPr>
      <w:r w:rsidRPr="000E0F2E">
        <w:rPr>
          <w:rFonts w:ascii="ITC Avant Garde Std Bk" w:hAnsi="ITC Avant Garde Std Bk" w:cs="Calibri"/>
          <w:sz w:val="20"/>
          <w:szCs w:val="20"/>
        </w:rPr>
        <w:t xml:space="preserve"> </w:t>
      </w:r>
    </w:p>
    <w:p w:rsidR="006368A0" w:rsidRPr="000E0F2E" w:rsidRDefault="00572C7C">
      <w:pPr>
        <w:spacing w:after="286"/>
        <w:ind w:left="-5"/>
        <w:rPr>
          <w:rFonts w:ascii="ITC Avant Garde Std Bk" w:hAnsi="ITC Avant Garde Std Bk" w:cs="Calibri"/>
          <w:sz w:val="20"/>
          <w:szCs w:val="20"/>
        </w:rPr>
      </w:pPr>
      <w:r>
        <w:rPr>
          <w:rFonts w:ascii="ITC Avant Garde Std Bk" w:hAnsi="ITC Avant Garde Std Bk" w:cs="Calibri"/>
          <w:sz w:val="20"/>
          <w:szCs w:val="20"/>
        </w:rPr>
        <w:t>The Mount Group Practice</w:t>
      </w:r>
      <w:r w:rsidR="000E0F2E" w:rsidRPr="000E0F2E">
        <w:rPr>
          <w:rFonts w:ascii="ITC Avant Garde Std Bk" w:hAnsi="ITC Avant Garde Std Bk" w:cs="Calibri"/>
          <w:sz w:val="20"/>
          <w:szCs w:val="20"/>
        </w:rPr>
        <w:t xml:space="preserve"> re-affirms its commitment to do everything possible to protect staff, patients and visitors from unacceptable behaviour and the practices zero tolerance of any incident that causes hurt, alarm, damage or distress.</w:t>
      </w:r>
      <w:r w:rsidR="000E0F2E" w:rsidRPr="000E0F2E">
        <w:rPr>
          <w:rFonts w:ascii="ITC Avant Garde Std Bk" w:hAnsi="ITC Avant Garde Std Bk" w:cs="Calibri"/>
          <w:b/>
          <w:sz w:val="20"/>
          <w:szCs w:val="20"/>
        </w:rPr>
        <w:t xml:space="preserve"> </w:t>
      </w:r>
    </w:p>
    <w:p w:rsidR="006368A0" w:rsidRPr="000E0F2E" w:rsidRDefault="00572C7C">
      <w:pPr>
        <w:spacing w:after="286" w:line="238" w:lineRule="auto"/>
        <w:ind w:left="0" w:firstLine="0"/>
        <w:rPr>
          <w:rFonts w:ascii="ITC Avant Garde Std Bk" w:hAnsi="ITC Avant Garde Std Bk" w:cs="Calibri"/>
          <w:sz w:val="20"/>
          <w:szCs w:val="20"/>
        </w:rPr>
      </w:pPr>
      <w:r>
        <w:rPr>
          <w:rFonts w:ascii="ITC Avant Garde Std Bk" w:hAnsi="ITC Avant Garde Std Bk" w:cs="Calibri"/>
          <w:sz w:val="20"/>
          <w:szCs w:val="20"/>
        </w:rPr>
        <w:t>The Mount Group Practice</w:t>
      </w:r>
      <w:r w:rsidR="000E0F2E" w:rsidRPr="000E0F2E">
        <w:rPr>
          <w:rFonts w:ascii="ITC Avant Garde Std Bk" w:hAnsi="ITC Avant Garde Std Bk" w:cs="Calibri"/>
          <w:sz w:val="20"/>
          <w:szCs w:val="20"/>
        </w:rPr>
        <w:t xml:space="preserve"> will not remove patients on the grounds of: </w:t>
      </w:r>
      <w:r w:rsidR="000E0F2E" w:rsidRPr="000E0F2E">
        <w:rPr>
          <w:rFonts w:ascii="ITC Avant Garde Std Bk" w:hAnsi="ITC Avant Garde Std Bk" w:cs="Calibri"/>
          <w:color w:val="2C2C2C"/>
          <w:sz w:val="20"/>
          <w:szCs w:val="20"/>
        </w:rPr>
        <w:t xml:space="preserve">Race, Gender, Social class, Age, Religion, Sexual orientation, Appearance, Disability, Medical condition, Need for specific treatments, Relationship to a patient already removed from the list (unless there are grounds for concern in regard to staff and patient safety). </w:t>
      </w:r>
    </w:p>
    <w:p w:rsidR="006368A0" w:rsidRPr="000E0F2E" w:rsidRDefault="000E0F2E">
      <w:pPr>
        <w:spacing w:after="254" w:line="259" w:lineRule="auto"/>
        <w:ind w:left="0" w:firstLine="0"/>
        <w:rPr>
          <w:rFonts w:ascii="ITC Avant Garde Std Bk" w:hAnsi="ITC Avant Garde Std Bk" w:cs="Calibri"/>
          <w:sz w:val="20"/>
          <w:szCs w:val="20"/>
        </w:rPr>
      </w:pPr>
      <w:r w:rsidRPr="000E0F2E">
        <w:rPr>
          <w:rFonts w:ascii="ITC Avant Garde Std Bk" w:hAnsi="ITC Avant Garde Std Bk" w:cs="Calibri"/>
          <w:b/>
          <w:color w:val="2C2C2C"/>
          <w:sz w:val="20"/>
          <w:szCs w:val="20"/>
          <w:u w:val="single" w:color="2C2C2C"/>
        </w:rPr>
        <w:t>Grounds for Removal</w:t>
      </w:r>
      <w:r w:rsidRPr="000E0F2E">
        <w:rPr>
          <w:rFonts w:ascii="ITC Avant Garde Std Bk" w:hAnsi="ITC Avant Garde Std Bk" w:cs="Calibri"/>
          <w:b/>
          <w:color w:val="2C2C2C"/>
          <w:sz w:val="20"/>
          <w:szCs w:val="20"/>
        </w:rPr>
        <w:t xml:space="preserve"> </w:t>
      </w:r>
    </w:p>
    <w:p w:rsidR="006368A0" w:rsidRPr="000E0F2E" w:rsidRDefault="000E0F2E">
      <w:pPr>
        <w:pStyle w:val="Heading2"/>
        <w:ind w:left="-5"/>
        <w:rPr>
          <w:rFonts w:ascii="ITC Avant Garde Std Bk" w:hAnsi="ITC Avant Garde Std Bk" w:cs="Calibri"/>
          <w:sz w:val="20"/>
          <w:szCs w:val="20"/>
        </w:rPr>
      </w:pPr>
      <w:r w:rsidRPr="000E0F2E">
        <w:rPr>
          <w:rFonts w:ascii="ITC Avant Garde Std Bk" w:hAnsi="ITC Avant Garde Std Bk" w:cs="Calibri"/>
          <w:sz w:val="20"/>
          <w:szCs w:val="20"/>
        </w:rPr>
        <w:t xml:space="preserve">Irretrievable Breakdown of the Doctor-Patient Relationship </w:t>
      </w:r>
    </w:p>
    <w:p w:rsidR="006368A0" w:rsidRPr="000E0F2E" w:rsidRDefault="000E0F2E">
      <w:pPr>
        <w:ind w:left="-5"/>
        <w:rPr>
          <w:rFonts w:ascii="ITC Avant Garde Std Bk" w:hAnsi="ITC Avant Garde Std Bk" w:cs="Calibri"/>
          <w:sz w:val="20"/>
          <w:szCs w:val="20"/>
        </w:rPr>
      </w:pPr>
      <w:r w:rsidRPr="000E0F2E">
        <w:rPr>
          <w:rFonts w:ascii="ITC Avant Garde Std Bk" w:hAnsi="ITC Avant Garde Std Bk" w:cs="Calibri"/>
          <w:sz w:val="20"/>
          <w:szCs w:val="20"/>
        </w:rPr>
        <w:t xml:space="preserve">Where; a patients’ behaviour falls outside of that which is normally considered ‘reasonable’ and leads to an irretrievable breakdown of the doctor-patient relationship. </w:t>
      </w:r>
    </w:p>
    <w:p w:rsidR="006368A0" w:rsidRPr="000E0F2E" w:rsidRDefault="000E0F2E">
      <w:pPr>
        <w:spacing w:after="0" w:line="259" w:lineRule="auto"/>
        <w:ind w:left="0" w:firstLine="0"/>
        <w:rPr>
          <w:rFonts w:ascii="ITC Avant Garde Std Bk" w:hAnsi="ITC Avant Garde Std Bk" w:cs="Calibri"/>
          <w:sz w:val="20"/>
          <w:szCs w:val="20"/>
        </w:rPr>
      </w:pPr>
      <w:r w:rsidRPr="000E0F2E">
        <w:rPr>
          <w:rFonts w:ascii="ITC Avant Garde Std Bk" w:eastAsia="Calibri" w:hAnsi="ITC Avant Garde Std Bk" w:cs="Calibri"/>
          <w:color w:val="2C2C2C"/>
          <w:sz w:val="20"/>
          <w:szCs w:val="20"/>
        </w:rPr>
        <w:t xml:space="preserve"> </w:t>
      </w:r>
    </w:p>
    <w:p w:rsidR="006368A0" w:rsidRPr="000E0F2E" w:rsidRDefault="000E0F2E">
      <w:pPr>
        <w:pStyle w:val="Heading2"/>
        <w:ind w:left="-5"/>
        <w:rPr>
          <w:rFonts w:ascii="ITC Avant Garde Std Bk" w:hAnsi="ITC Avant Garde Std Bk" w:cs="Calibri"/>
          <w:sz w:val="20"/>
          <w:szCs w:val="20"/>
        </w:rPr>
      </w:pPr>
      <w:r w:rsidRPr="000E0F2E">
        <w:rPr>
          <w:rFonts w:ascii="ITC Avant Garde Std Bk" w:hAnsi="ITC Avant Garde Std Bk" w:cs="Calibri"/>
          <w:sz w:val="20"/>
          <w:szCs w:val="20"/>
        </w:rPr>
        <w:t>Violence</w:t>
      </w:r>
      <w:r w:rsidRPr="000E0F2E">
        <w:rPr>
          <w:rFonts w:ascii="ITC Avant Garde Std Bk" w:hAnsi="ITC Avant Garde Std Bk" w:cs="Calibri"/>
          <w:color w:val="2C2C2C"/>
          <w:sz w:val="20"/>
          <w:szCs w:val="20"/>
        </w:rPr>
        <w:t xml:space="preserve"> </w:t>
      </w:r>
    </w:p>
    <w:p w:rsidR="006368A0" w:rsidRPr="000E0F2E" w:rsidRDefault="000E0F2E">
      <w:pPr>
        <w:ind w:left="-5"/>
        <w:rPr>
          <w:rFonts w:ascii="ITC Avant Garde Std Bk" w:hAnsi="ITC Avant Garde Std Bk" w:cs="Calibri"/>
          <w:sz w:val="20"/>
          <w:szCs w:val="20"/>
        </w:rPr>
      </w:pPr>
      <w:r w:rsidRPr="000E0F2E">
        <w:rPr>
          <w:rFonts w:ascii="ITC Avant Garde Std Bk" w:hAnsi="ITC Avant Garde Std Bk" w:cs="Calibri"/>
          <w:sz w:val="20"/>
          <w:szCs w:val="20"/>
        </w:rPr>
        <w:t xml:space="preserve">When; a patient is physically violent or threatening towards a doctor, practice staff or other patients on the practice premises. </w:t>
      </w:r>
    </w:p>
    <w:p w:rsidR="006368A0" w:rsidRPr="000E0F2E" w:rsidRDefault="000E0F2E">
      <w:pPr>
        <w:ind w:left="-5"/>
        <w:rPr>
          <w:rFonts w:ascii="ITC Avant Garde Std Bk" w:hAnsi="ITC Avant Garde Std Bk" w:cs="Calibri"/>
          <w:sz w:val="20"/>
          <w:szCs w:val="20"/>
        </w:rPr>
      </w:pPr>
      <w:r w:rsidRPr="000E0F2E">
        <w:rPr>
          <w:rFonts w:ascii="ITC Avant Garde Std Bk" w:hAnsi="ITC Avant Garde Std Bk" w:cs="Calibri"/>
          <w:sz w:val="20"/>
          <w:szCs w:val="20"/>
        </w:rPr>
        <w:t xml:space="preserve">When; a patient causes physical damage to practice premises or other patient’s property. When; a patient gives verbal abuse or makes threats towards the doctor, practice staff or other patients. </w:t>
      </w:r>
    </w:p>
    <w:p w:rsidR="006368A0" w:rsidRPr="000E0F2E" w:rsidRDefault="000E0F2E">
      <w:pPr>
        <w:ind w:left="-5"/>
        <w:rPr>
          <w:rFonts w:ascii="ITC Avant Garde Std Bk" w:hAnsi="ITC Avant Garde Std Bk" w:cs="Calibri"/>
          <w:sz w:val="20"/>
          <w:szCs w:val="20"/>
        </w:rPr>
      </w:pPr>
      <w:r w:rsidRPr="000E0F2E">
        <w:rPr>
          <w:rFonts w:ascii="ITC Avant Garde Std Bk" w:hAnsi="ITC Avant Garde Std Bk" w:cs="Calibri"/>
          <w:sz w:val="20"/>
          <w:szCs w:val="20"/>
        </w:rPr>
        <w:t xml:space="preserve">When; a patient gives racist abuse, verbally or physically. </w:t>
      </w:r>
    </w:p>
    <w:p w:rsidR="006368A0" w:rsidRPr="000E0F2E" w:rsidRDefault="000E0F2E">
      <w:pPr>
        <w:ind w:left="-5"/>
        <w:rPr>
          <w:rFonts w:ascii="ITC Avant Garde Std Bk" w:hAnsi="ITC Avant Garde Std Bk" w:cs="Calibri"/>
          <w:sz w:val="20"/>
          <w:szCs w:val="20"/>
        </w:rPr>
      </w:pPr>
      <w:r w:rsidRPr="000E0F2E">
        <w:rPr>
          <w:rFonts w:ascii="ITC Avant Garde Std Bk" w:hAnsi="ITC Avant Garde Std Bk" w:cs="Calibri"/>
          <w:sz w:val="20"/>
          <w:szCs w:val="20"/>
        </w:rPr>
        <w:t xml:space="preserve">When; a patient is violent, or uses or condones threatening behaviour to doctors (or some member of the primary health care team) while visiting the patient’s home. Such behaviour may involve the patient, a relative, a household member, or pets (such as unchained dogs). </w:t>
      </w:r>
    </w:p>
    <w:p w:rsidR="006368A0" w:rsidRPr="000E0F2E" w:rsidRDefault="000E0F2E">
      <w:pPr>
        <w:spacing w:after="0" w:line="259" w:lineRule="auto"/>
        <w:ind w:left="0" w:firstLine="0"/>
        <w:rPr>
          <w:rFonts w:ascii="ITC Avant Garde Std Bk" w:hAnsi="ITC Avant Garde Std Bk" w:cs="Calibri"/>
          <w:sz w:val="20"/>
          <w:szCs w:val="20"/>
        </w:rPr>
      </w:pPr>
      <w:r w:rsidRPr="000E0F2E">
        <w:rPr>
          <w:rFonts w:ascii="ITC Avant Garde Std Bk" w:hAnsi="ITC Avant Garde Std Bk" w:cs="Calibri"/>
          <w:b/>
          <w:sz w:val="20"/>
          <w:szCs w:val="20"/>
        </w:rPr>
        <w:t xml:space="preserve"> </w:t>
      </w:r>
    </w:p>
    <w:p w:rsidR="006368A0" w:rsidRPr="000E0F2E" w:rsidRDefault="000E0F2E">
      <w:pPr>
        <w:pStyle w:val="Heading2"/>
        <w:ind w:left="-5"/>
        <w:rPr>
          <w:rFonts w:ascii="ITC Avant Garde Std Bk" w:hAnsi="ITC Avant Garde Std Bk" w:cs="Calibri"/>
          <w:sz w:val="20"/>
          <w:szCs w:val="20"/>
        </w:rPr>
      </w:pPr>
      <w:r w:rsidRPr="000E0F2E">
        <w:rPr>
          <w:rFonts w:ascii="ITC Avant Garde Std Bk" w:hAnsi="ITC Avant Garde Std Bk" w:cs="Calibri"/>
          <w:sz w:val="20"/>
          <w:szCs w:val="20"/>
        </w:rPr>
        <w:t xml:space="preserve">Crime &amp; Deception </w:t>
      </w:r>
    </w:p>
    <w:p w:rsidR="006368A0" w:rsidRPr="000E0F2E" w:rsidRDefault="000E0F2E">
      <w:pPr>
        <w:ind w:left="-5"/>
        <w:rPr>
          <w:rFonts w:ascii="ITC Avant Garde Std Bk" w:hAnsi="ITC Avant Garde Std Bk" w:cs="Calibri"/>
          <w:sz w:val="20"/>
          <w:szCs w:val="20"/>
        </w:rPr>
      </w:pPr>
      <w:r w:rsidRPr="000E0F2E">
        <w:rPr>
          <w:rFonts w:ascii="ITC Avant Garde Std Bk" w:hAnsi="ITC Avant Garde Std Bk" w:cs="Calibri"/>
          <w:sz w:val="20"/>
          <w:szCs w:val="20"/>
        </w:rPr>
        <w:t xml:space="preserve">Where; a patient fraudulently obtains drugs for themselves or another patient. </w:t>
      </w:r>
    </w:p>
    <w:p w:rsidR="006368A0" w:rsidRPr="000E0F2E" w:rsidRDefault="000E0F2E">
      <w:pPr>
        <w:ind w:left="-5"/>
        <w:rPr>
          <w:rFonts w:ascii="ITC Avant Garde Std Bk" w:hAnsi="ITC Avant Garde Std Bk" w:cs="Calibri"/>
          <w:sz w:val="20"/>
          <w:szCs w:val="20"/>
        </w:rPr>
      </w:pPr>
      <w:r w:rsidRPr="000E0F2E">
        <w:rPr>
          <w:rFonts w:ascii="ITC Avant Garde Std Bk" w:hAnsi="ITC Avant Garde Std Bk" w:cs="Calibri"/>
          <w:sz w:val="20"/>
          <w:szCs w:val="20"/>
        </w:rPr>
        <w:t xml:space="preserve">Where; a patient repeatedly reports lost or stolen prescriptions – especially those outlined in our policy on the prescribing and non-replacement of addictive drugs. </w:t>
      </w:r>
    </w:p>
    <w:p w:rsidR="006368A0" w:rsidRPr="000E0F2E" w:rsidRDefault="000E0F2E">
      <w:pPr>
        <w:ind w:left="-5"/>
        <w:rPr>
          <w:rFonts w:ascii="ITC Avant Garde Std Bk" w:hAnsi="ITC Avant Garde Std Bk" w:cs="Calibri"/>
          <w:sz w:val="20"/>
          <w:szCs w:val="20"/>
        </w:rPr>
      </w:pPr>
      <w:r w:rsidRPr="000E0F2E">
        <w:rPr>
          <w:rFonts w:ascii="ITC Avant Garde Std Bk" w:hAnsi="ITC Avant Garde Std Bk" w:cs="Calibri"/>
          <w:sz w:val="20"/>
          <w:szCs w:val="20"/>
        </w:rPr>
        <w:t xml:space="preserve">Where; a patient deliberately lies to the doctor or other members of the primary health care team (e.g. by giving false name of false medical history) in order to obtain a service or benefit by deception. </w:t>
      </w:r>
    </w:p>
    <w:p w:rsidR="006368A0" w:rsidRPr="000E0F2E" w:rsidRDefault="000E0F2E">
      <w:pPr>
        <w:ind w:left="-5"/>
        <w:rPr>
          <w:rFonts w:ascii="ITC Avant Garde Std Bk" w:hAnsi="ITC Avant Garde Std Bk" w:cs="Calibri"/>
          <w:sz w:val="20"/>
          <w:szCs w:val="20"/>
        </w:rPr>
      </w:pPr>
      <w:r w:rsidRPr="000E0F2E">
        <w:rPr>
          <w:rFonts w:ascii="ITC Avant Garde Std Bk" w:hAnsi="ITC Avant Garde Std Bk" w:cs="Calibri"/>
          <w:sz w:val="20"/>
          <w:szCs w:val="20"/>
        </w:rPr>
        <w:t xml:space="preserve">Where; a patient attempts to use the doctor to conceal or aid any criminal activity. </w:t>
      </w:r>
    </w:p>
    <w:p w:rsidR="006368A0" w:rsidRPr="000E0F2E" w:rsidRDefault="000E0F2E">
      <w:pPr>
        <w:ind w:left="-5"/>
        <w:rPr>
          <w:rFonts w:ascii="ITC Avant Garde Std Bk" w:hAnsi="ITC Avant Garde Std Bk" w:cs="Calibri"/>
          <w:sz w:val="20"/>
          <w:szCs w:val="20"/>
        </w:rPr>
      </w:pPr>
      <w:r w:rsidRPr="000E0F2E">
        <w:rPr>
          <w:rFonts w:ascii="ITC Avant Garde Std Bk" w:hAnsi="ITC Avant Garde Std Bk" w:cs="Calibri"/>
          <w:sz w:val="20"/>
          <w:szCs w:val="20"/>
        </w:rPr>
        <w:t xml:space="preserve">Where; a patient steals from practice premises. </w:t>
      </w:r>
    </w:p>
    <w:p w:rsidR="006368A0" w:rsidRPr="000E0F2E" w:rsidRDefault="000E0F2E">
      <w:pPr>
        <w:spacing w:after="24" w:line="259" w:lineRule="auto"/>
        <w:ind w:left="0" w:firstLine="0"/>
        <w:rPr>
          <w:rFonts w:ascii="ITC Avant Garde Std Bk" w:hAnsi="ITC Avant Garde Std Bk" w:cs="Calibri"/>
          <w:sz w:val="20"/>
          <w:szCs w:val="20"/>
        </w:rPr>
      </w:pPr>
      <w:r w:rsidRPr="000E0F2E">
        <w:rPr>
          <w:rFonts w:ascii="ITC Avant Garde Std Bk" w:hAnsi="ITC Avant Garde Std Bk" w:cs="Calibri"/>
          <w:sz w:val="20"/>
          <w:szCs w:val="20"/>
        </w:rPr>
        <w:t xml:space="preserve"> </w:t>
      </w:r>
    </w:p>
    <w:p w:rsidR="006368A0" w:rsidRPr="000E0F2E" w:rsidRDefault="000E0F2E">
      <w:pPr>
        <w:pStyle w:val="Heading2"/>
        <w:ind w:left="-5"/>
        <w:rPr>
          <w:rFonts w:ascii="ITC Avant Garde Std Bk" w:hAnsi="ITC Avant Garde Std Bk" w:cs="Calibri"/>
          <w:sz w:val="20"/>
          <w:szCs w:val="20"/>
        </w:rPr>
      </w:pPr>
      <w:r w:rsidRPr="000E0F2E">
        <w:rPr>
          <w:rFonts w:ascii="ITC Avant Garde Std Bk" w:hAnsi="ITC Avant Garde Std Bk" w:cs="Calibri"/>
          <w:sz w:val="20"/>
          <w:szCs w:val="20"/>
        </w:rPr>
        <w:lastRenderedPageBreak/>
        <w:t xml:space="preserve">Distance </w:t>
      </w:r>
    </w:p>
    <w:p w:rsidR="006368A0" w:rsidRPr="000E0F2E" w:rsidRDefault="000E0F2E">
      <w:pPr>
        <w:ind w:left="-5"/>
        <w:rPr>
          <w:rFonts w:ascii="ITC Avant Garde Std Bk" w:hAnsi="ITC Avant Garde Std Bk" w:cs="Calibri"/>
          <w:sz w:val="20"/>
          <w:szCs w:val="20"/>
        </w:rPr>
      </w:pPr>
      <w:r w:rsidRPr="000E0F2E">
        <w:rPr>
          <w:rFonts w:ascii="ITC Avant Garde Std Bk" w:hAnsi="ITC Avant Garde Std Bk" w:cs="Calibri"/>
          <w:sz w:val="20"/>
          <w:szCs w:val="20"/>
        </w:rPr>
        <w:t xml:space="preserve">Where; a patient resides out of the designated practice area.  They will be informed by phone, email or in writing and a removal will be sent via the registrations link to BSO advising the patient now </w:t>
      </w:r>
      <w:r w:rsidR="00572C7C">
        <w:rPr>
          <w:rFonts w:ascii="ITC Avant Garde Std Bk" w:hAnsi="ITC Avant Garde Std Bk" w:cs="Calibri"/>
          <w:sz w:val="20"/>
          <w:szCs w:val="20"/>
        </w:rPr>
        <w:t>resides beyond our boundary of 6</w:t>
      </w:r>
      <w:r w:rsidRPr="000E0F2E">
        <w:rPr>
          <w:rFonts w:ascii="ITC Avant Garde Std Bk" w:hAnsi="ITC Avant Garde Std Bk" w:cs="Calibri"/>
          <w:sz w:val="20"/>
          <w:szCs w:val="20"/>
        </w:rPr>
        <w:t xml:space="preserve"> miles.  This includes patients who choose to study at a University or College in the England, Scotland, Wales, </w:t>
      </w:r>
      <w:proofErr w:type="gramStart"/>
      <w:r w:rsidRPr="000E0F2E">
        <w:rPr>
          <w:rFonts w:ascii="ITC Avant Garde Std Bk" w:hAnsi="ITC Avant Garde Std Bk" w:cs="Calibri"/>
          <w:sz w:val="20"/>
          <w:szCs w:val="20"/>
        </w:rPr>
        <w:t>South</w:t>
      </w:r>
      <w:proofErr w:type="gramEnd"/>
      <w:r w:rsidRPr="000E0F2E">
        <w:rPr>
          <w:rFonts w:ascii="ITC Avant Garde Std Bk" w:hAnsi="ITC Avant Garde Std Bk" w:cs="Calibri"/>
          <w:sz w:val="20"/>
          <w:szCs w:val="20"/>
        </w:rPr>
        <w:t xml:space="preserve"> of Ireland and beyond.  Temporary or Permanent registration should be sought close to their residence.  We are happy to re-register as a regular patient, once their studies are complete and they have returned to an a</w:t>
      </w:r>
      <w:r w:rsidR="00572C7C">
        <w:rPr>
          <w:rFonts w:ascii="ITC Avant Garde Std Bk" w:hAnsi="ITC Avant Garde Std Bk" w:cs="Calibri"/>
          <w:sz w:val="20"/>
          <w:szCs w:val="20"/>
        </w:rPr>
        <w:t>ddress within our 6</w:t>
      </w:r>
      <w:r w:rsidRPr="000E0F2E">
        <w:rPr>
          <w:rFonts w:ascii="ITC Avant Garde Std Bk" w:hAnsi="ITC Avant Garde Std Bk" w:cs="Calibri"/>
          <w:sz w:val="20"/>
          <w:szCs w:val="20"/>
        </w:rPr>
        <w:t xml:space="preserve"> mile boundary.  We are also happy to see register those patients who return home during holiday time, as temporary patients.</w:t>
      </w:r>
      <w:r w:rsidRPr="000E0F2E">
        <w:rPr>
          <w:rFonts w:ascii="ITC Avant Garde Std Bk" w:eastAsia="Calibri" w:hAnsi="ITC Avant Garde Std Bk" w:cs="Calibri"/>
          <w:sz w:val="20"/>
          <w:szCs w:val="20"/>
        </w:rPr>
        <w:t xml:space="preserve"> </w:t>
      </w:r>
    </w:p>
    <w:p w:rsidR="006368A0" w:rsidRPr="000E0F2E" w:rsidRDefault="000E0F2E">
      <w:pPr>
        <w:spacing w:after="0" w:line="259" w:lineRule="auto"/>
        <w:ind w:left="0" w:firstLine="0"/>
        <w:rPr>
          <w:rFonts w:ascii="ITC Avant Garde Std Bk" w:hAnsi="ITC Avant Garde Std Bk" w:cs="Calibri"/>
          <w:sz w:val="20"/>
          <w:szCs w:val="20"/>
        </w:rPr>
      </w:pPr>
      <w:r w:rsidRPr="000E0F2E">
        <w:rPr>
          <w:rFonts w:ascii="ITC Avant Garde Std Bk" w:hAnsi="ITC Avant Garde Std Bk" w:cs="Calibri"/>
          <w:b/>
          <w:sz w:val="20"/>
          <w:szCs w:val="20"/>
        </w:rPr>
        <w:t xml:space="preserve"> </w:t>
      </w:r>
    </w:p>
    <w:p w:rsidR="006368A0" w:rsidRPr="000E0F2E" w:rsidRDefault="000E0F2E">
      <w:pPr>
        <w:pStyle w:val="Heading2"/>
        <w:ind w:left="-5"/>
        <w:rPr>
          <w:rFonts w:ascii="ITC Avant Garde Std Bk" w:hAnsi="ITC Avant Garde Std Bk" w:cs="Calibri"/>
          <w:sz w:val="20"/>
          <w:szCs w:val="20"/>
        </w:rPr>
      </w:pPr>
      <w:r w:rsidRPr="000E0F2E">
        <w:rPr>
          <w:rFonts w:ascii="ITC Avant Garde Std Bk" w:hAnsi="ITC Avant Garde Std Bk" w:cs="Calibri"/>
          <w:sz w:val="20"/>
          <w:szCs w:val="20"/>
        </w:rPr>
        <w:t xml:space="preserve">Embarkation </w:t>
      </w:r>
    </w:p>
    <w:p w:rsidR="006368A0" w:rsidRPr="000E0F2E" w:rsidRDefault="000E0F2E">
      <w:pPr>
        <w:ind w:left="-5"/>
        <w:rPr>
          <w:rFonts w:ascii="ITC Avant Garde Std Bk" w:hAnsi="ITC Avant Garde Std Bk" w:cs="Calibri"/>
          <w:sz w:val="20"/>
          <w:szCs w:val="20"/>
        </w:rPr>
      </w:pPr>
      <w:r w:rsidRPr="000E0F2E">
        <w:rPr>
          <w:rFonts w:ascii="ITC Avant Garde Std Bk" w:hAnsi="ITC Avant Garde Std Bk" w:cs="Calibri"/>
          <w:sz w:val="20"/>
          <w:szCs w:val="20"/>
        </w:rPr>
        <w:t xml:space="preserve">Where a patient has moved abroad or in accordance with the data provided in their registration forms on their length of stay or the length of their visa – BSO will remove patient automatically depending on the information the patient has provided.  If mail is returned as addressee has gone away, the practice will inform BSO and request a removal. </w:t>
      </w:r>
    </w:p>
    <w:p w:rsidR="006368A0" w:rsidRPr="000E0F2E" w:rsidRDefault="000E0F2E">
      <w:pPr>
        <w:spacing w:after="24" w:line="259" w:lineRule="auto"/>
        <w:ind w:left="0" w:firstLine="0"/>
        <w:rPr>
          <w:rFonts w:ascii="ITC Avant Garde Std Bk" w:hAnsi="ITC Avant Garde Std Bk" w:cs="Calibri"/>
          <w:sz w:val="20"/>
          <w:szCs w:val="20"/>
        </w:rPr>
      </w:pPr>
      <w:r w:rsidRPr="000E0F2E">
        <w:rPr>
          <w:rFonts w:ascii="ITC Avant Garde Std Bk" w:hAnsi="ITC Avant Garde Std Bk" w:cs="Calibri"/>
          <w:sz w:val="20"/>
          <w:szCs w:val="20"/>
        </w:rPr>
        <w:t xml:space="preserve"> </w:t>
      </w:r>
      <w:bookmarkStart w:id="0" w:name="_GoBack"/>
      <w:bookmarkEnd w:id="0"/>
    </w:p>
    <w:p w:rsidR="006368A0" w:rsidRPr="000E0F2E" w:rsidRDefault="000E0F2E">
      <w:pPr>
        <w:pStyle w:val="Heading1"/>
        <w:ind w:left="-5"/>
        <w:rPr>
          <w:rFonts w:ascii="ITC Avant Garde Std Bk" w:hAnsi="ITC Avant Garde Std Bk" w:cs="Calibri"/>
          <w:sz w:val="20"/>
          <w:szCs w:val="20"/>
        </w:rPr>
      </w:pPr>
      <w:r w:rsidRPr="000E0F2E">
        <w:rPr>
          <w:rFonts w:ascii="ITC Avant Garde Std Bk" w:hAnsi="ITC Avant Garde Std Bk" w:cs="Calibri"/>
          <w:sz w:val="20"/>
          <w:szCs w:val="20"/>
        </w:rPr>
        <w:t>Procedure for Removal</w:t>
      </w:r>
      <w:r w:rsidRPr="000E0F2E">
        <w:rPr>
          <w:rFonts w:ascii="ITC Avant Garde Std Bk" w:hAnsi="ITC Avant Garde Std Bk" w:cs="Calibri"/>
          <w:sz w:val="20"/>
          <w:szCs w:val="20"/>
          <w:u w:val="none"/>
        </w:rPr>
        <w:t xml:space="preserve"> </w:t>
      </w:r>
    </w:p>
    <w:p w:rsidR="006368A0" w:rsidRPr="000E0F2E" w:rsidRDefault="000E0F2E">
      <w:pPr>
        <w:spacing w:after="37" w:line="259" w:lineRule="auto"/>
        <w:ind w:left="0" w:firstLine="0"/>
        <w:rPr>
          <w:rFonts w:ascii="ITC Avant Garde Std Bk" w:hAnsi="ITC Avant Garde Std Bk" w:cs="Calibri"/>
          <w:sz w:val="20"/>
          <w:szCs w:val="20"/>
        </w:rPr>
      </w:pPr>
      <w:r w:rsidRPr="000E0F2E">
        <w:rPr>
          <w:rFonts w:ascii="ITC Avant Garde Std Bk" w:hAnsi="ITC Avant Garde Std Bk" w:cs="Calibri"/>
          <w:sz w:val="20"/>
          <w:szCs w:val="20"/>
        </w:rPr>
        <w:t xml:space="preserve"> </w:t>
      </w:r>
    </w:p>
    <w:p w:rsidR="006368A0" w:rsidRPr="000E0F2E" w:rsidRDefault="000E0F2E">
      <w:pPr>
        <w:numPr>
          <w:ilvl w:val="0"/>
          <w:numId w:val="1"/>
        </w:numPr>
        <w:ind w:hanging="360"/>
        <w:rPr>
          <w:rFonts w:ascii="ITC Avant Garde Std Bk" w:hAnsi="ITC Avant Garde Std Bk" w:cs="Calibri"/>
          <w:sz w:val="20"/>
          <w:szCs w:val="20"/>
        </w:rPr>
      </w:pPr>
      <w:r w:rsidRPr="000E0F2E">
        <w:rPr>
          <w:rFonts w:ascii="ITC Avant Garde Std Bk" w:hAnsi="ITC Avant Garde Std Bk" w:cs="Calibri"/>
          <w:sz w:val="20"/>
          <w:szCs w:val="20"/>
        </w:rPr>
        <w:t xml:space="preserve">The GP partners and the practice manager will discuss the need for removal of a patient, as they arise with the exception of reasons of distance and embarkation.  In some cases a warning may be issued instead of a removal.  </w:t>
      </w:r>
    </w:p>
    <w:p w:rsidR="006368A0" w:rsidRPr="000E0F2E" w:rsidRDefault="000E0F2E" w:rsidP="00572C7C">
      <w:pPr>
        <w:spacing w:after="37" w:line="259" w:lineRule="auto"/>
        <w:ind w:left="720" w:firstLine="0"/>
        <w:rPr>
          <w:rFonts w:ascii="ITC Avant Garde Std Bk" w:hAnsi="ITC Avant Garde Std Bk" w:cs="Calibri"/>
          <w:sz w:val="20"/>
          <w:szCs w:val="20"/>
        </w:rPr>
      </w:pPr>
      <w:r w:rsidRPr="000E0F2E">
        <w:rPr>
          <w:rFonts w:ascii="ITC Avant Garde Std Bk" w:hAnsi="ITC Avant Garde Std Bk" w:cs="Calibri"/>
          <w:sz w:val="20"/>
          <w:szCs w:val="20"/>
        </w:rPr>
        <w:t xml:space="preserve"> </w:t>
      </w:r>
    </w:p>
    <w:p w:rsidR="006368A0" w:rsidRPr="000E0F2E" w:rsidRDefault="000E0F2E">
      <w:pPr>
        <w:numPr>
          <w:ilvl w:val="0"/>
          <w:numId w:val="1"/>
        </w:numPr>
        <w:ind w:hanging="360"/>
        <w:rPr>
          <w:rFonts w:ascii="ITC Avant Garde Std Bk" w:hAnsi="ITC Avant Garde Std Bk" w:cs="Calibri"/>
          <w:sz w:val="20"/>
          <w:szCs w:val="20"/>
        </w:rPr>
      </w:pPr>
      <w:r w:rsidRPr="000E0F2E">
        <w:rPr>
          <w:rFonts w:ascii="ITC Avant Garde Std Bk" w:hAnsi="ITC Avant Garde Std Bk" w:cs="Calibri"/>
          <w:sz w:val="20"/>
          <w:szCs w:val="20"/>
        </w:rPr>
        <w:t xml:space="preserve">The practice will write to the patient advising them of their imminent removal, the reason for the removal, with or without prior warning and provide them with the contact information for BSO, should they have problems gaining voluntary acceptance with another GP surgery.  </w:t>
      </w:r>
    </w:p>
    <w:p w:rsidR="006368A0" w:rsidRPr="000E0F2E" w:rsidRDefault="000E0F2E">
      <w:pPr>
        <w:spacing w:after="37" w:line="259" w:lineRule="auto"/>
        <w:ind w:left="720" w:firstLine="0"/>
        <w:rPr>
          <w:rFonts w:ascii="ITC Avant Garde Std Bk" w:hAnsi="ITC Avant Garde Std Bk" w:cs="Calibri"/>
          <w:sz w:val="20"/>
          <w:szCs w:val="20"/>
        </w:rPr>
      </w:pPr>
      <w:r w:rsidRPr="000E0F2E">
        <w:rPr>
          <w:rFonts w:ascii="ITC Avant Garde Std Bk" w:hAnsi="ITC Avant Garde Std Bk" w:cs="Calibri"/>
          <w:sz w:val="20"/>
          <w:szCs w:val="20"/>
        </w:rPr>
        <w:t xml:space="preserve"> </w:t>
      </w:r>
    </w:p>
    <w:p w:rsidR="006368A0" w:rsidRPr="000E0F2E" w:rsidRDefault="000E0F2E">
      <w:pPr>
        <w:numPr>
          <w:ilvl w:val="0"/>
          <w:numId w:val="1"/>
        </w:numPr>
        <w:ind w:hanging="360"/>
        <w:rPr>
          <w:rFonts w:ascii="ITC Avant Garde Std Bk" w:hAnsi="ITC Avant Garde Std Bk" w:cs="Calibri"/>
          <w:sz w:val="20"/>
          <w:szCs w:val="20"/>
        </w:rPr>
      </w:pPr>
      <w:r w:rsidRPr="000E0F2E">
        <w:rPr>
          <w:rFonts w:ascii="ITC Avant Garde Std Bk" w:hAnsi="ITC Avant Garde Std Bk" w:cs="Calibri"/>
          <w:sz w:val="20"/>
          <w:szCs w:val="20"/>
        </w:rPr>
        <w:t xml:space="preserve">Acts of violence, theft and illegal gain of prescription medication will be reported to the PSNI. </w:t>
      </w:r>
    </w:p>
    <w:p w:rsidR="006368A0" w:rsidRPr="000E0F2E" w:rsidRDefault="000E0F2E">
      <w:pPr>
        <w:spacing w:after="0" w:line="259" w:lineRule="auto"/>
        <w:ind w:left="0" w:firstLine="0"/>
        <w:rPr>
          <w:rFonts w:ascii="ITC Avant Garde Std Bk" w:hAnsi="ITC Avant Garde Std Bk" w:cs="Calibri"/>
          <w:sz w:val="20"/>
          <w:szCs w:val="20"/>
        </w:rPr>
      </w:pPr>
      <w:r w:rsidRPr="000E0F2E">
        <w:rPr>
          <w:rFonts w:ascii="ITC Avant Garde Std Bk" w:hAnsi="ITC Avant Garde Std Bk" w:cs="Calibri"/>
          <w:sz w:val="20"/>
          <w:szCs w:val="20"/>
        </w:rPr>
        <w:t xml:space="preserve"> </w:t>
      </w:r>
    </w:p>
    <w:p w:rsidR="000E0F2E" w:rsidRPr="00572C7C" w:rsidRDefault="000E0F2E">
      <w:pPr>
        <w:spacing w:after="238" w:line="259" w:lineRule="auto"/>
        <w:ind w:left="0" w:firstLine="0"/>
        <w:rPr>
          <w:rFonts w:ascii="ITC Avant Garde Std Bk" w:eastAsia="Calibri" w:hAnsi="ITC Avant Garde Std Bk" w:cs="Calibri"/>
          <w:b/>
          <w:sz w:val="20"/>
          <w:szCs w:val="20"/>
        </w:rPr>
      </w:pPr>
    </w:p>
    <w:p w:rsidR="000E0F2E" w:rsidRDefault="000E0F2E" w:rsidP="000E0F2E">
      <w:pPr>
        <w:rPr>
          <w:rFonts w:ascii="ITC Avant Garde Std Bk" w:hAnsi="ITC Avant Garde Std Bk"/>
          <w:noProof/>
          <w:sz w:val="20"/>
          <w:szCs w:val="20"/>
        </w:rPr>
      </w:pPr>
      <w:r w:rsidRPr="000E0F2E">
        <w:rPr>
          <w:rFonts w:ascii="ITC Avant Garde Std Bk" w:hAnsi="ITC Avant Garde Std Bk" w:cs="Calibri"/>
          <w:sz w:val="20"/>
          <w:szCs w:val="20"/>
        </w:rPr>
        <w:t xml:space="preserve"> </w:t>
      </w:r>
      <w:r w:rsidRPr="000E0F2E">
        <w:rPr>
          <w:rFonts w:ascii="ITC Avant Garde Std Bk" w:hAnsi="ITC Avant Garde Std Bk"/>
          <w:noProof/>
          <w:sz w:val="20"/>
          <w:szCs w:val="20"/>
        </w:rPr>
        <w:t xml:space="preserve">The practice always endeavours to comply with the HPSS (General Medical Services) Regulations (NI) 2004 </w:t>
      </w:r>
    </w:p>
    <w:p w:rsidR="00F81FC5" w:rsidRPr="000E0F2E" w:rsidRDefault="00F81FC5" w:rsidP="000E0F2E">
      <w:pPr>
        <w:rPr>
          <w:rFonts w:ascii="ITC Avant Garde Std Bk" w:hAnsi="ITC Avant Garde Std Bk"/>
          <w:noProof/>
          <w:color w:val="FF0000"/>
          <w:sz w:val="20"/>
          <w:szCs w:val="20"/>
        </w:rPr>
      </w:pPr>
    </w:p>
    <w:p w:rsidR="006368A0" w:rsidRPr="000E0F2E" w:rsidRDefault="000E0F2E" w:rsidP="000E0F2E">
      <w:pPr>
        <w:spacing w:after="240" w:line="259" w:lineRule="auto"/>
        <w:ind w:left="108" w:firstLine="0"/>
        <w:rPr>
          <w:rFonts w:ascii="ITC Avant Garde Std Bk" w:hAnsi="ITC Avant Garde Std Bk" w:cs="Calibri"/>
          <w:sz w:val="20"/>
          <w:szCs w:val="20"/>
        </w:rPr>
      </w:pPr>
      <w:r w:rsidRPr="000E0F2E">
        <w:rPr>
          <w:rFonts w:ascii="ITC Avant Garde Std Bk" w:hAnsi="ITC Avant Garde Std Bk"/>
          <w:noProof/>
          <w:color w:val="FF0000"/>
          <w:sz w:val="20"/>
          <w:szCs w:val="20"/>
        </w:rPr>
        <w:t xml:space="preserve"> </w:t>
      </w:r>
      <w:hyperlink r:id="rId6" w:history="1">
        <w:r w:rsidRPr="000E0F2E">
          <w:rPr>
            <w:rStyle w:val="Hyperlink"/>
            <w:rFonts w:ascii="ITC Avant Garde Std Bk" w:hAnsi="ITC Avant Garde Std Bk"/>
            <w:sz w:val="20"/>
            <w:szCs w:val="20"/>
          </w:rPr>
          <w:t>The Health and Personal Social Services (General Medical Services Contracts) Regulations (Northern Ireland) 2004 (health-ni.gov.uk)</w:t>
        </w:r>
      </w:hyperlink>
    </w:p>
    <w:p w:rsidR="006368A0" w:rsidRPr="000E0F2E" w:rsidRDefault="000E0F2E">
      <w:pPr>
        <w:spacing w:after="240" w:line="259" w:lineRule="auto"/>
        <w:ind w:left="108" w:firstLine="0"/>
        <w:rPr>
          <w:rFonts w:ascii="ITC Avant Garde Std Bk" w:hAnsi="ITC Avant Garde Std Bk"/>
        </w:rPr>
      </w:pPr>
      <w:r w:rsidRPr="000E0F2E">
        <w:rPr>
          <w:rFonts w:ascii="ITC Avant Garde Std Bk" w:hAnsi="ITC Avant Garde Std Bk"/>
        </w:rPr>
        <w:t xml:space="preserve"> </w:t>
      </w:r>
    </w:p>
    <w:p w:rsidR="006368A0" w:rsidRPr="000E0F2E" w:rsidRDefault="000E0F2E">
      <w:pPr>
        <w:spacing w:after="0" w:line="259" w:lineRule="auto"/>
        <w:ind w:left="108" w:firstLine="0"/>
        <w:rPr>
          <w:rFonts w:ascii="ITC Avant Garde Std Bk" w:hAnsi="ITC Avant Garde Std Bk"/>
        </w:rPr>
      </w:pPr>
      <w:r w:rsidRPr="000E0F2E">
        <w:rPr>
          <w:rFonts w:ascii="ITC Avant Garde Std Bk" w:hAnsi="ITC Avant Garde Std Bk"/>
        </w:rPr>
        <w:t xml:space="preserve"> </w:t>
      </w:r>
    </w:p>
    <w:sectPr w:rsidR="006368A0" w:rsidRPr="000E0F2E">
      <w:pgSz w:w="11906" w:h="16838"/>
      <w:pgMar w:top="684" w:right="1459" w:bottom="112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TC Avant Garde Std Bk">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C0438"/>
    <w:multiLevelType w:val="hybridMultilevel"/>
    <w:tmpl w:val="0C60237E"/>
    <w:lvl w:ilvl="0" w:tplc="DC8695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2896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C4BF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6CAC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A2A3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9468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9A05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EAC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64D1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A0"/>
    <w:rsid w:val="000E0F2E"/>
    <w:rsid w:val="0011643C"/>
    <w:rsid w:val="002B3A1D"/>
    <w:rsid w:val="00572C7C"/>
    <w:rsid w:val="006368A0"/>
    <w:rsid w:val="00F81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FA5B"/>
  <w15:docId w15:val="{4103A2B4-648C-4604-BDE6-CFA6D5B5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6"/>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styleId="Hyperlink">
    <w:name w:val="Hyperlink"/>
    <w:uiPriority w:val="99"/>
    <w:unhideWhenUsed/>
    <w:rsid w:val="000E0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ealth-ni.gov.uk/sites/default/files/publications/dhssps/hpss-gms-regs-140-2004.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B23BF-535B-4A4A-AFD7-DAB707D4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cp:lastModifiedBy>PMANAGER</cp:lastModifiedBy>
  <cp:revision>2</cp:revision>
  <dcterms:created xsi:type="dcterms:W3CDTF">2024-06-05T15:44:00Z</dcterms:created>
  <dcterms:modified xsi:type="dcterms:W3CDTF">2024-06-05T15:44:00Z</dcterms:modified>
</cp:coreProperties>
</file>